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BEHV — Kontoarten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Im nationalen Emissionshandelsregister werden folgende Kontoarten geführt:</w:t>
      </w:r>
    </w:p>
    <w:p>
      <w:pPr>
        <w:ind w:left="420"/>
      </w:pPr>
      <w:r>
        <w:t xml:space="preserve">1. Abgabekonto: Konto der zuständigen Behörde, auf dem von Verantwortlichen abgegebene Zertifikate verzeichnet werden;</w:t>
      </w:r>
    </w:p>
    <w:p>
      <w:pPr>
        <w:ind w:left="420"/>
      </w:pPr>
      <w:r>
        <w:t xml:space="preserve">2. Compliance-Konto: Konto eines Verantwortlichen, auf dem der Besitz, die Übertragung, die Abgabe und die Löschung von Emissionszertifikaten verzeichnet wird. Es dient der Erfüllung der Abgabepflicht nach § 8 des Brennstoffemissionshandelsgesetzes;</w:t>
      </w:r>
    </w:p>
    <w:p>
      <w:pPr>
        <w:ind w:left="420"/>
      </w:pPr>
      <w:r>
        <w:t xml:space="preserve">3. Handelskonto: Konto einer natürlichen oder juristischen Person oder Personengesellschaft, auf dem der Besitz, die Übertragung und die Löschung von Emissionszertifikaten verzeichnet wird;</w:t>
      </w:r>
    </w:p>
    <w:p>
      <w:pPr>
        <w:ind w:left="420"/>
      </w:pPr>
      <w:r>
        <w:t xml:space="preserve">4. Löschungskonto: Konto der zuständigen Behörde, auf dem gelöschte Zertifikate verzeichnet werden;</w:t>
      </w:r>
    </w:p>
    <w:p>
      <w:pPr>
        <w:ind w:left="420"/>
      </w:pPr>
      <w:r>
        <w:t xml:space="preserve">5. Nationalkonto: Konto der zuständigen Behörde, auf dem Zertifikate erzeugt und verwahrt werden;</w:t>
      </w:r>
    </w:p>
    <w:p>
      <w:pPr>
        <w:ind w:left="420"/>
      </w:pPr>
      <w:r>
        <w:t xml:space="preserve">6. Veräußerungskonto: Konto der für die Veräußerung von Emissionszertifikaten zuständigen Stelle zur Übertragung veräußerter Zertifikate auf die Konten der Käufer.</w:t>
      </w:r>
    </w:p>
    <w:p>
      <w:r>
        <w:t xml:space="preserve">(2) Weitere Regelungen zu den Kontoarten enthält die Anlage 1 zu dieser Verordnung.</w:t>
      </w:r>
    </w:p>
    <w:p>
      <w:r>
        <w:rPr>
          <w:color w:val="555555"/>
          <w:sz w:val="17"/>
        </w:rPr>
        <w:t xml:space="preserve">Zitiervorschlag: § 19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