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BEHV — Emissionshandelsregister</w:t>
      </w:r>
    </w:p>
    <w:p>
      <w:r>
        <w:rPr>
          <w:color w:val="555555"/>
          <w:sz w:val="18"/>
        </w:rPr>
        <w:t xml:space="preserve">Brennstoffemissionshandelsverordnung</w:t>
      </w:r>
    </w:p>
    <w:p>
      <w:r>
        <w:rPr>
          <w:color w:val="555555"/>
          <w:sz w:val="18"/>
        </w:rPr>
        <w:t xml:space="preserve">Stand: 16.09.2025 (konsolidierte Textfassung, kein amtliches Inkrafttretensdatum)</w:t>
      </w:r>
    </w:p>
    <w:p>
      <w:r>
        <w:t xml:space="preserve">(1) Die zuständige Behörde führt das nationale Emissionshandelsregister einschließlich der Registerkonten und der technischen Infrastruktur aufgrund ihrer diesbezüglichen Befugnis nach § 12 des Brennstoffemissionshandelsgesetzes.</w:t>
      </w:r>
    </w:p>
    <w:p>
      <w:r>
        <w:t xml:space="preserve">(2) Die zuständige Behörde erlässt Nutzungsbedingungen für die Kontoeröffnung und Kontoführung im nationalen Emissionshandelsregister.</w:t>
      </w:r>
    </w:p>
    <w:p>
      <w:r>
        <w:rPr>
          <w:color w:val="555555"/>
          <w:sz w:val="17"/>
        </w:rPr>
        <w:t xml:space="preserve">Zitiervorschlag: § 18 BEHV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