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BEHV — Sonderregelung bei Verschiebung des Beginns des EU-Brennstoffemissionshandels</w:t>
      </w:r>
    </w:p>
    <w:p>
      <w:r>
        <w:rPr>
          <w:color w:val="555555"/>
          <w:sz w:val="18"/>
        </w:rPr>
        <w:t xml:space="preserve">Brennstoffemissionshandelsverordnung</w:t>
      </w:r>
    </w:p>
    <w:p>
      <w:r>
        <w:rPr>
          <w:color w:val="555555"/>
          <w:sz w:val="18"/>
        </w:rPr>
        <w:t xml:space="preserve">Stand: 16.09.2025 (konsolidierte Textfassung, kein amtliches Inkrafttretensdatum)</w:t>
      </w:r>
    </w:p>
    <w:p>
      <w:r>
        <w:t xml:space="preserve">(1) Im Fall der Verschiebung des Beginns des EU-Brennstoffemissionshandels nach Artikel 30k Absatz 2 der Richtlinie 2003/87/EG wird das Brennstoffemissionshandelsgesetz in seinem am 31. Dezember 2026 geltenden Anwendungsbereich für Brennstoffemissionen des Jahres 2027 fortgeführt. § 16 Absatz 1 und 2 Satz 1 gilt für diesen Fall entsprechend.</w:t>
      </w:r>
    </w:p>
    <w:p>
      <w:r>
        <w:t xml:space="preserve">(2) Emissionszertifikate, die gemäß § 9 Absatz 1 Satz 1 des Brennstoffemissionshandelsgesetzes dem Kalenderjahr 2027 zugeordnet sind, werden ab dem dritten Quartal 2027 zu einem marktbasierten Preis verkauft. Dieser marktbasierte Preis entspricht dem mengengewichteten Durchschnittspreis der Versteigerungen von Berechtigungen nach § 10 Absatz 1 des Treibhausgas-Emissionshandelsgesetzes in dem jeweils vorletzten vorangegangenen Quartal.</w:t>
      </w:r>
    </w:p>
    <w:p>
      <w:r>
        <w:t xml:space="preserve">(3) Die zuständige Stelle veröffentlicht die Höhe des marktbasierten Preises nach Absatz 2 Satz 2 für jedes Quartal mit einem Vorlauf von mindestens zwei Monaten vor Beginn des jeweiligen Quartals. Für die Durchführung des Verkaufs nach Absatz 2 Satz 1 gelten die Regelungen nach den §§ 9 und 10 entsprechend.</w:t>
      </w:r>
    </w:p>
    <w:p>
      <w:r>
        <w:rPr>
          <w:color w:val="555555"/>
          <w:sz w:val="17"/>
        </w:rPr>
        <w:t xml:space="preserve">Zitiervorschlag: § 17 BEHV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