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BEHV — Verkauf der Überschussmenge</w:t>
      </w:r>
    </w:p>
    <w:p>
      <w:r>
        <w:rPr>
          <w:color w:val="555555"/>
          <w:sz w:val="18"/>
        </w:rPr>
        <w:t xml:space="preserve">Brennstoffemissionshandelsverordnung</w:t>
      </w:r>
    </w:p>
    <w:p>
      <w:r>
        <w:rPr>
          <w:color w:val="555555"/>
          <w:sz w:val="18"/>
        </w:rPr>
        <w:t xml:space="preserve">Stand: 16.09.2025 (konsolidierte Textfassung, kein amtliches Inkrafttretensdatum)</w:t>
      </w:r>
    </w:p>
    <w:p>
      <w:r>
        <w:t xml:space="preserve">Nach vollständiger Versteigerung der Gesamtversteigerungsmenge nach § 11 Absatz 1 verkauft die beauftragte Stelle im Jahr 2026 Emissionszertifikate zu einem Überschussmengenpreis von 68 Euro pro Emissionszertifikat. Für die Durchführung dieses Verkaufs gelten die Regelungen nach den §§ 9 und 10 entsprechend.</w:t>
      </w:r>
    </w:p>
    <w:p>
      <w:r>
        <w:rPr>
          <w:color w:val="555555"/>
          <w:sz w:val="17"/>
        </w:rPr>
        <w:t xml:space="preserve">Zitiervorschlag: § 14 BEHV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https://recht.nulegal.eu/gesetze/BEHV/14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