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BEHV — Versteigerungsverfahren</w:t>
      </w:r>
    </w:p>
    <w:p>
      <w:r>
        <w:rPr>
          <w:color w:val="555555"/>
          <w:sz w:val="18"/>
        </w:rPr>
        <w:t xml:space="preserve">Brennstoffemissionshandelsverordnung</w:t>
      </w:r>
    </w:p>
    <w:p>
      <w:r>
        <w:rPr>
          <w:color w:val="555555"/>
          <w:sz w:val="18"/>
        </w:rPr>
        <w:t xml:space="preserve">Stand: 16.09.2025 (konsolidierte Textfassung, kein amtliches Inkrafttretensdatum)</w:t>
      </w:r>
    </w:p>
    <w:p>
      <w:r>
        <w:t xml:space="preserve">(1) Die Mindestgebotsmenge beträgt ein Emissionszertifikat. In einem Versteigerungstermin darf die Summe der einzelnen Gebote eines einzelnen Bieters je Auslieferungskonto nicht höher sein als 50 Prozent der für diesen Versteigerungstermin vorgesehenen Versteigerungsmenge. Für das Versteigerungsverfahren sind nur Gebote zugelassen, bei denen der gebotene Preis je Emissionszertifikat (Gebotspreis) mindestens 55 Euro und maximal 65 Euro beträgt.</w:t>
      </w:r>
    </w:p>
    <w:p>
      <w:r>
        <w:t xml:space="preserve">(2) Das Versteigerungsverfahren erfolgt nach dem Einheitspreisverfahren mit einer Bieterrunde pro Versteigerung. Jeder Bieter kann jeweils nur die eigenen abgegebenen Gebote einsehen.</w:t>
      </w:r>
    </w:p>
    <w:p>
      <w:r>
        <w:t xml:space="preserve">(3) Zu dem von der die Versteigerung durchführenden Stelle festgesetzten Zeitpunkt werden die abgegebenen Gebote nach der Höhe des Gebotspreises gereiht. Die in den Geboten dargelegten Gebotsmengen werden aufsummiert, beginnend bei dem höchsten Gebotspreis. Der Preis des Gebotes, bei dem die aufsummierten Gebotsmengen die angebotene Menge an Emissionszertifikaten erreichen oder überschreiten, ist der Zuschlagspreis. Alle Gebote, die in die Summenbildung eingegangen sind und deren Gebotspreis höher ist als der Zuschlagspreis, werden entsprechend der Höhe des Zuschlagspreises zugeteilt. Sofern die Summe der Gebote zum Zuschlagspreis höher ist als die verbleibende Versteigerungsmenge, wird jedes dieser Gebote im Verhältnis der verbleibenden Versteigerungsmenge zur Gesamtgebotsmenge zum Zuschlagspreis zugeteilt.</w:t>
      </w:r>
    </w:p>
    <w:p>
      <w:r>
        <w:t xml:space="preserve">(4) Liegt der Zuschlagspreis in einem Versteigerungstermin bei 65 Euro und überschreitet die Gesamtgebotsmenge zum Zuschlagspreis die Versteigerungsmenge, erhalten alle Bieter, die zum Zuschlagspreis geboten haben, abweichend von Absatz 3 die von ihnen gebotene Menge, sofern die Gesamtgebotsmenge zum Zuschlagspreis nicht höher liegt als das Doppelte der vorgesehenen Versteigerungsmenge in diesem Versteigerungstermin. Sofern die Gesamtgebotsmenge zum Zuschlagspreis das Doppelte der vorgesehenen Versteigerungsmenge überschreitet, wird jedes Gebot im Verhältnis der doppelten vorgesehenen Versteigerungsmenge zur Gesamtgebotsmenge zum Zuschlagspreis zugeteilt. Die nach den Sätzen 1 und 2 über die vorgesehene Versteigerungsmenge hinaus zugeteilten Emissionszertifikate werden von der verbleibenden Gesamtversteigerungsmenge für das Jahr 2026 abgezogen und die Anzahl der verbleibenden Versteigerungstermine wird abweichend von § 6 Satz 1 entsprechend reduziert. Sofern die wegfallenden Versteigerungstermine bereits im Versteigerungskalender angekündigt worden sind, gilt für die Information über die Aufhebung dieser Termine eine verkürzte Ankündigungsfrist von einer Woche.</w:t>
      </w:r>
    </w:p>
    <w:p>
      <w:r>
        <w:t xml:space="preserve">(5) Beträgt die gesamte noch verbleibende Versteigerungsmenge vor einem Versteigerungstermin weniger als ein Drittel der Gesamtversteigerungsmenge, findet Absatz 4 Satz 1 und 2 für diesen Versteigerungstermin keine Anwendung.</w:t>
      </w:r>
    </w:p>
    <w:p>
      <w:r>
        <w:rPr>
          <w:color w:val="555555"/>
          <w:sz w:val="17"/>
        </w:rPr>
        <w:t xml:space="preserve">Zitiervorschlag: § 12 BEHV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