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BEHV — Versteigerungsmenge, Versteigerungstermine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Gesamtversteigerungsmenge für das Jahr 2026 ergibt sich aus der in § 44 Absatz 2 für das Jahr 2026 vorgesehenen jährlichen Emissionsmenge zuzüglich der gemäß § 45 für das Jahr 2026 veröffentlichten jährlichen Erhöhungsmenge und abzüglich des zusätzlichen Bedarfs nach § 5 Absatz 1 des Brennstoffemissionshandelsgesetzes in der Einführungsphase. Der zusätzliche Bedarf nach Satz 1 ergibt sich aus der Summe aus den für die Jahre 2021 bis 2024 nach § 46 Absatz 3 veröffentlichten Mengen der bereinigten Zusatzbedarfe und einem für das Jahr 2025 anzusetzenden Zusatzbedarf im Umfang von 39 Millionen Emissionszertifikaten. Die zuständige Stelle veröffentlicht die Gesamtversteigerungsmenge nach Satz 1 bis zum 30. April 2026 auf ihrer Internetseite.</w:t>
      </w:r>
    </w:p>
    <w:p>
      <w:r>
        <w:t xml:space="preserve">(2) Sinkt die nach einem Versteigerungstermin verbleibende Gesamtversteigerungsmenge unter das Dreifache der pro Versteigerungstermin vorgesehenen Menge, finden nach diesem Versteigerungstermin nur noch zwei weitere Versteigerungstermine im Jahr 2026 statt. In dem letzten Versteigerungstermin im Jahr 2026 wird die gesamte noch verbleibende Versteigerungsmenge angeboten. Für die in Satz 1 genannten zwei weiteren Versteigerungstermine findet § 12 Absatz 4 Satz 1 bis 3 keine Anwendung. Sofern etwaig wegfallende Versteigerungstermine bereits im Versteigerungskalender angekündigt worden sind, gilt für die Information über die Aufhebung dieser Termine eine verkürzte Ankündigungsfrist von einer Woche.</w:t>
      </w:r>
    </w:p>
    <w:p>
      <w:r>
        <w:t xml:space="preserve">(3) Ein Versteigerungstermin wird annulliert, wenn</w:t>
      </w:r>
    </w:p>
    <w:p>
      <w:pPr>
        <w:ind w:left="420"/>
      </w:pPr>
      <w:r>
        <w:t xml:space="preserve">1. bei dem Versteigerungstermin die Gesamtgebotsmenge am Ende der Gebotsfrist geringer ist als die vorgesehene Versteigerungsmenge oder</w:t>
      </w:r>
    </w:p>
    <w:p>
      <w:pPr>
        <w:ind w:left="420"/>
      </w:pPr>
      <w:r>
        <w:t xml:space="preserve">2. die Annullierung als Maßnahme nach § 7 Absatz 3 angeordnet wird.</w:t>
      </w:r>
    </w:p>
    <w:p>
      <w:r>
        <w:t xml:space="preserve">Sofern das Handelssystem zu einem der vorgesehenen Versteigerungstermine wegen einer technischen Störung nicht zur Verfügung steht, findet der vorgesehene Versteigerungstermin nicht statt. In den Fällen der Sätze 1 und 2 wird die für den annullierten Versteigerungstermin vorgesehene Versteigerungsmenge nicht von der verbleibenden Gesamtversteigerungsmenge für das Jahr 2026 abgezogen. Soweit erforderlich, wird der nach Satz 1 oder 2 entfallene Versteigerungstermin unverzüglich nachgeholt. Für die Ankündigung dieses Nachholtermins gilt eine verkürzte Ankündigungsfrist von mindestens einer Woche.</w:t>
      </w:r>
    </w:p>
    <w:p>
      <w:r>
        <w:rPr>
          <w:color w:val="555555"/>
          <w:sz w:val="17"/>
        </w:rPr>
        <w:t xml:space="preserve">Zitiervorschlag: § 11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