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BEHV — Bestimmung der Nachkaufmenge, Mindestkaufmenge</w:t>
      </w:r>
    </w:p>
    <w:p>
      <w:r>
        <w:rPr>
          <w:color w:val="555555"/>
          <w:sz w:val="18"/>
        </w:rPr>
        <w:t xml:space="preserve">Brennstoffemissionshandelsverordnung</w:t>
      </w:r>
    </w:p>
    <w:p>
      <w:r>
        <w:rPr>
          <w:color w:val="555555"/>
          <w:sz w:val="18"/>
        </w:rPr>
        <w:t xml:space="preserve">Stand: 16.09.2025 (konsolidierte Textfassung, kein amtliches Inkrafttretensdatum)</w:t>
      </w:r>
    </w:p>
    <w:p>
      <w:r>
        <w:t xml:space="preserve">(1) Für die Anwendung von § 10 Absatz 2 Satz 3 des Brennstoffemissionshandelsgesetzes gilt die Menge an Emissionszertifikaten als in einem der Kalenderjahre 2021 bis 2025 erworben, die ein Verantwortlicher am Ende dieses Kalenderjahres auf seinem Compliance-Konto hält, sofern es sich dabei um Emissionszertifikate handelt, die zur Erfüllung der Abgabeverpflichtung für dieses Kalenderjahr gültig sind.</w:t>
      </w:r>
    </w:p>
    <w:p>
      <w:r>
        <w:t xml:space="preserve">(2) Die Mindestmenge für den Erwerb von Emissionszertifikaten bei der beauftragten Stelle beträgt ein Emissionszertifikat.</w:t>
      </w:r>
    </w:p>
    <w:p>
      <w:r>
        <w:rPr>
          <w:color w:val="555555"/>
          <w:sz w:val="17"/>
        </w:rPr>
        <w:t xml:space="preserve">Zitiervorschlag: § 10 BEHV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https://recht.nulegal.eu/gesetze/BEHV/10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