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BEHV — Anwendungsbereich und Zweck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Diese Verordnung gilt innerhalb des Anwendungsbereichs des Brennstoffemissionshandelsgesetzes.</w:t>
      </w:r>
    </w:p>
    <w:p>
      <w:r>
        <w:t xml:space="preserve">(2) Diese Verordnung dient der Konkretisierung der Anforderungen der §§ 4, 5, 9, 10 und 12 des Brennstoffemissionshandelsgesetzes.</w:t>
      </w:r>
    </w:p>
    <w:p>
      <w:r>
        <w:rPr>
          <w:color w:val="555555"/>
          <w:sz w:val="17"/>
        </w:rPr>
        <w:t xml:space="preserve">Zitiervorschlag: § 1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