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BEHG — Flexibilisierungsinstrumente nach der EU-Klimaschutzverordnung</w:t>
      </w:r>
    </w:p>
    <w:p>
      <w:r>
        <w:rPr>
          <w:color w:val="555555"/>
          <w:sz w:val="18"/>
        </w:rPr>
        <w:t xml:space="preserve">Brennstoffemissionshandelsgesetz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(1) Soweit während der Einführungsphase nach § 10 Absatz 2 Satz 1 und 2 und für die Dauer der Anwendung eines Preiskorridors die jährliche Emissionsmenge nach § 4 Absatz 1 und 3 für ein Kalenderjahr innerhalb der Handelsperiode überschritten wird und die Jahresmengen der EU-Klimaschutzverordnung nicht eingehalten werden, wird der darüber hinausgehende Bedarf an Emissionszertifikaten durch Nutzung von Flexibilisierungsmöglichkeiten nach der EU-Klimaschutzverordnung, einschließlich des Zukaufs einer entsprechenden Menge an Emissionszuweisungen aus anderen Mitgliedstaaten, gedeckt.</w:t>
      </w:r>
    </w:p>
    <w:p>
      <w:r>
        <w:t xml:space="preserve">(2) Die Bundesregierung wird ermächtigt, durch Rechtsverordnung, die nicht der Zustimmung des Bundesrates bedarf, Einzelheiten zur Berechnung des zusätzlichen Bedarfs nach Absatz 1 zu regeln, insbesondere zur Berücksichtigung</w:t>
      </w:r>
    </w:p>
    <w:p>
      <w:pPr>
        <w:ind w:left="420"/>
      </w:pPr>
      <w:r>
        <w:t xml:space="preserve">1. der Anrechnung möglicher Überschüsse an Emissionszuweisungen durch Minderungen in anderen Sektoren,</w:t>
      </w:r>
    </w:p>
    <w:p>
      <w:pPr>
        <w:ind w:left="420"/>
      </w:pPr>
      <w:r>
        <w:t xml:space="preserve">2. der Menge der ausgegebenen, aber nicht abgegebenen Emissionszertifikate in einem Jahr und</w:t>
      </w:r>
    </w:p>
    <w:p>
      <w:pPr>
        <w:ind w:left="420"/>
      </w:pPr>
      <w:r>
        <w:t xml:space="preserve">3. der tatsächlichen Schnittmenge, die sich nach § 4 Absatz 3 ergibt.</w:t>
      </w:r>
    </w:p>
    <w:p>
      <w:r>
        <w:rPr>
          <w:color w:val="555555"/>
          <w:sz w:val="17"/>
        </w:rPr>
        <w:t xml:space="preserve">Zitiervorschlag: § 5 BEHG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