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BEHG — Erfahrungsbericht</w:t>
      </w:r>
    </w:p>
    <w:p>
      <w:r>
        <w:rPr>
          <w:color w:val="555555"/>
          <w:sz w:val="18"/>
        </w:rPr>
        <w:t xml:space="preserve">Brennstoffemissionshandelsgesetz</w:t>
      </w:r>
    </w:p>
    <w:p>
      <w:r>
        <w:rPr>
          <w:color w:val="555555"/>
          <w:sz w:val="18"/>
        </w:rPr>
        <w:t xml:space="preserve">Stand: 13.04.2025 (konsolidierte Textfassung, kein amtliches Inkrafttretensdatum)</w:t>
      </w:r>
    </w:p>
    <w:p>
      <w:r>
        <w:t xml:space="preserve">(1) Die Bundesregierung evaluiert dieses Gesetz und legt dem Bundestag bis zum 30. November 2022 sowie bis zum 30. November 2024 und dann alle vier Jahre einen Erfahrungsbericht vor. In dem Bericht berichtet sie insbesondere über den Stand der Implementierung und die Wirksamkeit des nationalen Emissionshandelssystems, über Auswirkungen der Festpreise und Preiskorridore nach § 10 Absatz 2 und macht auf dieser Basis erforderlichenfalls Vorschläge für gesetzliche Änderungen zur Anpassung und Fortentwicklung des Emissionshandelssystems. Dabei berücksichtigt sie die jährlichen Klimaschutzberichte nach § 10 des Bundes-Klimaschutzgesetzes. Die Möglichkeit zur gesetzlichen Anpassung der Festpreise und Preiskorridore bleibt unberührt.</w:t>
      </w:r>
    </w:p>
    <w:p>
      <w:r>
        <w:t xml:space="preserve">(2) Das Umweltbundesamt unterstützt das Bundesministerium für Wirtschaft und Klimaschutz bei der Erstellung des Erfahrungsberichts. Die betroffenen Bundesministerien werden durch das Bundesministerium für Wirtschaft und Klimaschutz frühzeitig beteiligt und unterstützen das Bundesministerium für Wirtschaft und Klimaschutz bei der Erarbeitung des Erfahrungsberichts.</w:t>
      </w:r>
    </w:p>
    <w:p>
      <w:r>
        <w:rPr>
          <w:color w:val="555555"/>
          <w:sz w:val="17"/>
        </w:rPr>
        <w:t xml:space="preserve">Zitiervorschlag: § 23 BEHG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