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BEHG — Bußgeldvorschriften</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Ordnungswidrig handelt, wer entgegen § 7 Absatz 1 einen Bericht nicht, nicht richtig, nicht vollständig oder nicht rechtzeitig erstattet.</w:t>
      </w:r>
    </w:p>
    <w:p>
      <w:r>
        <w:t xml:space="preserve">(2) Ordnungswidrig handelt, wer eine in Absatz 1 bezeichnete Handlung fahrlässig begeht.</w:t>
      </w:r>
    </w:p>
    <w:p>
      <w:r>
        <w:t xml:space="preserve">(3) Ordnungswidrig handelt, wer vorsätzlich oder fahrlässig</w:t>
      </w:r>
    </w:p>
    <w:p>
      <w:pPr>
        <w:ind w:left="420"/>
      </w:pPr>
      <w:r>
        <w:t xml:space="preserve">1. entgegen § 6 Absatz 1 Satz 1 oder Absatz 4 Satz 1 einen Überwachungsplan nicht, nicht richtig, nicht vollständig oder nicht rechtzeitig einreicht,</w:t>
      </w:r>
    </w:p>
    <w:p>
      <w:pPr>
        <w:ind w:left="420"/>
      </w:pPr>
      <w:r>
        <w:t xml:space="preserve">2. entgegen § 14 Absatz 2 eine dort genannte Handlung nicht gestattet, eine Auskunft nicht, nicht richtig, nicht vollständig oder nicht rechtzeitig erteilt, eine Unterlage nicht, nicht richtig oder nicht rechtzeitig vorlegt oder eine Arbeitskraft oder ein Hilfsmittel nicht oder nicht rechtzeitig bereitstellt oder</w:t>
      </w:r>
    </w:p>
    <w:p>
      <w:pPr>
        <w:ind w:left="420"/>
      </w:pPr>
      <w:r>
        <w:t xml:space="preserve">3. entgegen § 18 Absatz 1 Satz 1 eine Anzeige nicht, nicht richtig, nicht vollständig oder nicht rechtzeitig erstattet.</w:t>
      </w:r>
    </w:p>
    <w:p>
      <w:r>
        <w:t xml:space="preserve">(4) Die Ordnungswidrigkeit kann in den Fällen des Absatzes 1 mit einer Geldbuße bis zu fünfhunderttausend Euro und in den Fällen der Absätze 2 und 3 mit einer Geldbuße bis zu fünfzigtausend Euro geahndet werden.</w:t>
      </w:r>
    </w:p>
    <w:p>
      <w:r>
        <w:rPr>
          <w:color w:val="555555"/>
          <w:sz w:val="17"/>
        </w:rPr>
        <w:t xml:space="preserve">Zitiervorschlag: § 22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