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BEHG — Anwendungsbereich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Dieses Gesetz gilt für die Emission von Treibhausgasen aus den in Anlage 1 genannten Brennstoffen, die gemäß den Absätzen 2 und 2a in Verkehr gebracht werden.</w:t>
      </w:r>
    </w:p>
    <w:p>
      <w:r>
        <w:t xml:space="preserve">(2) Brennstoffe gelten mit dem Entstehen der Energiesteuer nach § 8 Absatz 1, § 9 Absatz 1, § 9a Absatz 4, § 18b Absatz 1, § 19b Absatz 1, § 22 Absatz 1, § 30 Absatz 1, § 32 Absatz 1, den §§ 34, 35, 36 Absatz 1, § 37 Absatz 2 Satz 5 und 6, Absatz 3 Satz 2, Absatz 4 Satz 1, § 38 Absatz 1, § 40 Absatz 1, § 41 Absatz 1, § 43 Absatz 1 oder § 44 Absatz 4 Satz 2 des Energiesteuergesetzes als in Verkehr gebracht. Brennstoffe im Verfahren der steuerfreien Verwendung nach § 37 Absatz 2 Nummer 3 oder Nummer 4 des Energiesteuergesetzes gelten ebenfalls als in Verkehr gebracht, sofern sie nicht in einer dem EU-Emissionshandel unterliegenden Anlage verwendet werden.</w:t>
      </w:r>
    </w:p>
    <w:p>
      <w:r>
        <w:t xml:space="preserve">(2a) Sofern Brennstoffe nicht bereits nach Absatz 2 als in Verkehr gebracht gelten, gelten sie als in Verkehr gebracht, wenn sie in Anlagen zur Beseitigung oder Verwertung von Abfällen verwendet werden, die nach</w:t>
      </w:r>
    </w:p>
    <w:p>
      <w:pPr>
        <w:ind w:left="420"/>
      </w:pPr>
      <w:r>
        <w:t xml:space="preserve">1. Nummer 8.1.1 oder</w:t>
      </w:r>
    </w:p>
    <w:p>
      <w:pPr>
        <w:ind w:left="420"/>
      </w:pPr>
      <w:r>
        <w:t xml:space="preserve">2. Nummer 8.1.2 mit dem Hauptbrennstoff Altöl</w:t>
      </w:r>
    </w:p>
    <w:p>
      <w:r>
        <w:t xml:space="preserve">des Anhangs 1 zu der Verordnung über genehmigungsbedürftige Anlagen einer Genehmigung bedürfen, und der Betreiber einer solchen Anlage nicht der Pflicht zur Abgabe von Berechtigungen nach § 7 Absatz 1 des Treibhausgas-Emissionshandelsgesetzes unterliegt.</w:t>
      </w:r>
    </w:p>
    <w:p>
      <w:r>
        <w:t xml:space="preserve">(3) Dieses Gesetz gilt auch für Aufgaben im Zusammenhang mit Maßnahmen nach diesem Gesetz zur Kompensation der Doppelerfassung von Emissionen im EU-Emissionshandel und mit Maßnahmen zum Erhalt der internationalen Wettbewerbsfähigkeit sowie zum Ausgleich unzumutbarer Härten.</w:t>
      </w:r>
    </w:p>
    <w:p>
      <w:r>
        <w:rPr>
          <w:color w:val="555555"/>
          <w:sz w:val="17"/>
        </w:rPr>
        <w:t xml:space="preserve">Zitiervorschlag: § 2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