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BEHG — Änderung der Identität oder Rechtsform des Verantwortlichen</w:t>
      </w:r>
    </w:p>
    <w:p>
      <w:r>
        <w:rPr>
          <w:color w:val="555555"/>
          <w:sz w:val="18"/>
        </w:rPr>
        <w:t xml:space="preserve">Brennstoffemissionshandelsgesetz</w:t>
      </w:r>
    </w:p>
    <w:p>
      <w:r>
        <w:rPr>
          <w:color w:val="555555"/>
          <w:sz w:val="18"/>
        </w:rPr>
        <w:t xml:space="preserve">Stand: 25.12.2019 (konsolidierte Textfassung, kein amtliches Inkrafttretensdatum)</w:t>
      </w:r>
    </w:p>
    <w:p>
      <w:r>
        <w:t xml:space="preserve">(1) Ändert sich die Identität oder die Rechtsform eines Verantwortlichen, so hat der neue Verantwortliche dies unverzüglich nach der Änderung der zuständigen Behörde anzuzeigen. Der neue Verantwortliche übernimmt die noch nicht erfüllten Pflichten des ursprünglichen Verantwortlichen nach den §§ 6 bis 8.</w:t>
      </w:r>
    </w:p>
    <w:p>
      <w:r>
        <w:t xml:space="preserve">(2) Wird über das Vermögen eines Verantwortlichen das Insolvenzverfahren eröffnet, hat der Insolvenzverwalter die zuständige Behörde unverzüglich darüber zu unterrichten. Alle Verpflichtungen des Verantwortlichen aus diesem Gesetz bestehen während des Insolvenzverfahrens fort. Der Insolvenzverwalter teilt der zuständigen Behörde die natürlichen Personen mit, die während des Insolvenzverfahrens berechtigt sind, Übertragungen nach § 9 Absatz 2 vorzunehmen. Die Sätze 1 bis 3 gelten entsprechend für den vorläufigen Insolvenzverwalter mit Verfügungsbefugnis über das Vermögen des Verantwortlichen sowie für den Verantwortlichen als eigenverwaltenden Schuldner.</w:t>
      </w:r>
    </w:p>
    <w:p>
      <w:r>
        <w:rPr>
          <w:color w:val="555555"/>
          <w:sz w:val="17"/>
        </w:rPr>
        <w:t xml:space="preserve">Zitiervorschlag: § 18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