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BEHG — Gebühren für individuell zurechenbare öffentliche Leistungen</w:t>
      </w:r>
    </w:p>
    <w:p>
      <w:r>
        <w:rPr>
          <w:color w:val="555555"/>
          <w:sz w:val="18"/>
        </w:rPr>
        <w:t xml:space="preserve">Brennstoffemissionshandelsgesetz</w:t>
      </w:r>
    </w:p>
    <w:p>
      <w:r>
        <w:rPr>
          <w:color w:val="555555"/>
          <w:sz w:val="18"/>
        </w:rPr>
        <w:t xml:space="preserve">Stand: 13.04.2025 (konsolidierte Textfassung, kein amtliches Inkrafttretensdatum)</w:t>
      </w:r>
    </w:p>
    <w:p>
      <w:r>
        <w:t xml:space="preserve">(1) Für die Eröffnung eines Personen- oder Händlerkontos im nationalen Emissionshandelsregister erhebt die zuständige Behörde von dem Kontoinhaber eine Gebühr von 393 Euro, für die Verwaltung eines Personen- oder Händlerkontos eine Gebühr von 649 Euro pro Handelsperiode, für die Umfirmierung eines Kontos eine Gebühr von 280 Euro sowie für die Änderung eines Kontobevollmächtigten eine Gebühr von jeweils 140 Euro.</w:t>
      </w:r>
    </w:p>
    <w:p>
      <w:r>
        <w:t xml:space="preserve">(2) Wird ein Widerspruch gegen Entscheidungen nach diesem Gesetz vollständig oder teilweise zurückgewiesen, beträgt die Gebühr entsprechend dem entstandenen Verwaltungsaufwand 480 bis 5 600 Euro. Dies gilt nicht, wenn der Widerspruch nur deshalb keinen Erfolg hat, weil die Verletzung einer Verfahrens- oder Formvorschrift nach § 45 des Verwaltungsverfahrensgesetzes unbeachtlich ist. Wird der Widerspruch nach Beginn der sachlichen Bearbeitung, jedoch vor deren Beendigung zurückgenommen, ermäßigt sich die Gebühr um mindestens 25 Prozent.</w:t>
      </w:r>
    </w:p>
    <w:p>
      <w:r>
        <w:rPr>
          <w:color w:val="555555"/>
          <w:sz w:val="17"/>
        </w:rPr>
        <w:t xml:space="preserve">Zitiervorschlag: § 16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