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BEHG — Zweck des Gesetzes</w:t>
      </w:r>
    </w:p>
    <w:p>
      <w:r>
        <w:rPr>
          <w:color w:val="555555"/>
          <w:sz w:val="18"/>
        </w:rPr>
        <w:t xml:space="preserve">Brennstoffemissionshandelsgesetz</w:t>
      </w:r>
    </w:p>
    <w:p>
      <w:r>
        <w:rPr>
          <w:color w:val="555555"/>
          <w:sz w:val="18"/>
        </w:rPr>
        <w:t xml:space="preserve">Stand: 13.04.2025 (konsolidierte Textfassung, kein amtliches Inkrafttretensdatum)</w:t>
      </w:r>
    </w:p>
    <w:p>
      <w:r>
        <w:t xml:space="preserve">Zweck dieses Gesetzes ist es, die Grundlagen für den Handel mit Emissionszertifikaten zu schaffen und für eine Bepreisung von Brennstoffemissionen zu sorgen, soweit diese Emissionen nicht einer Bepreisung im Rahmen des EU-Emissionshandels unterliegen, um damit zur Erreichung der nationalen Klimaschutzziele, einschließlich des langfristigen Ziels der Netto-Treibhausgasneutralität bis zum Jahr 2045, und zur Erreichung der Minderungsziele nach der EU-Klimaschutzverordnung sowie zur Verbesserung der Energieeffizienz beizutragen. Zweck des Gesetzes ist es auch, den Übergang des nationalen Emissionshandelssystems in das EU-Emissionshandelssystem für Brennstoffe sicherzustellen. Zweck des nationalen Emissionshandelssystems ist die Bepreisung fossiler Treibhausgasemissionen.</w:t>
      </w:r>
    </w:p>
    <w:p>
      <w:r>
        <w:rPr>
          <w:color w:val="555555"/>
          <w:sz w:val="17"/>
        </w:rPr>
        <w:t xml:space="preserve">Zitiervorschlag: § 1 BEHG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