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BEGebV 2008</w:t>
      </w:r>
    </w:p>
    <w:p>
      <w:r>
        <w:rPr>
          <w:color w:val="555555"/>
          <w:sz w:val="18"/>
        </w:rPr>
        <w:t xml:space="preserve">Bundeseisenbahngebührenverordnung</w:t>
      </w:r>
    </w:p>
    <w:p>
      <w:r>
        <w:rPr>
          <w:color w:val="555555"/>
          <w:sz w:val="18"/>
        </w:rPr>
        <w:t xml:space="preserve">Historische Fassung: Stand 10.06.2019 bis 10.08.2021. Dies ist nicht die aktuelle Fassung.</w:t>
      </w:r>
    </w:p>
    <w:p>
      <w:r>
        <w:t xml:space="preserve">Auf Grund des § 26 Abs. 1 Satz 1 Nr. 9 auch in Verbindung mit Satz 2 sowie in Verbindung mit Abs. 3 Satz 5 des Allgemeinen Eisenbahngesetzes vom 27. Dezember 1993 (BGBl. I S. 2378, 2396), von denen § 26 Abs. 1 Satz 1 Nr. 9 zuletzt durch Artikel 1 Nr. 4 Buchstabe a Doppelbuchstabe cc des Gesetzes vom 13. Dezember 2006 (BGBl. I S. 2919) geändert, § 26 Abs. 1 Satz 2 durch Artikel 1 Nr. 4 des Gesetzes vom 8. November 2007 (BGBl. I S. 2566) angefügt sowie § 26 Abs. 3 Satz 5 durch Artikel 1 Nr. 12 Buchstabe b des Gesetzes vom 27. April 2005 (BGBl. I S. 1138) eingefügt und durch Artikel 1 Nr. 9 des Gesetzes vom 9. Dezember 2006 (BGBl. I S. 2833) geändert worden ist, in Verbindung mit dem 2. Abschnitt des Verwaltungskostengesetzes vom 23. Juni 1970 (BGBl. I S. 821) verordnet das Bundesministerium für Verkehr, Bau und Stadtentwicklung im Einvernehmen mit dem Bundesministerium der Finanzen und dem Bundesministerium für Wirtschaft und Technologie:</w:t>
      </w:r>
    </w:p>
    <w:p>
      <w:r>
        <w:rPr>
          <w:color w:val="555555"/>
          <w:sz w:val="17"/>
        </w:rPr>
        <w:t xml:space="preserve">Zitiervorschlag: Eingangsformel BEGebV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https://recht.nulegal.eu/gesetze/BEGebV%202008/eingangsformel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