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BEGebV 2008 — Alt-Sachverhalte</w:t>
      </w:r>
    </w:p>
    <w:p>
      <w:r>
        <w:rPr>
          <w:color w:val="555555"/>
          <w:sz w:val="18"/>
        </w:rPr>
        <w:t xml:space="preserve">Bundeseisenbahngebührenverordnung</w:t>
      </w:r>
    </w:p>
    <w:p>
      <w:r>
        <w:rPr>
          <w:color w:val="555555"/>
          <w:sz w:val="18"/>
        </w:rPr>
        <w:t xml:space="preserve">Historische Fassung: Stand 10.06.2019 bis 10.08.2021. Dies ist nicht die aktuelle Fassung.</w:t>
      </w:r>
    </w:p>
    <w:p>
      <w:r>
        <w:t xml:space="preserve">(1) Für Sachverhalte, die ab dem 1. Mai 2001 und bis zum Ablauf des 13. Juni 2005 entstanden sind, gilt § 2 Abs. 1 mit der Maßgabe, dass sich die gebührenpflichtigen individuell zurechenbaren öffentlichen Leistungen und die Gebühren aus dem Gebührenverzeichnis der Anlage 2 ergeben.</w:t>
      </w:r>
    </w:p>
    <w:p>
      <w:r>
        <w:t xml:space="preserve">(2) Für Sachverhalte, die ab dem 14. Juni 2005 und bis zum Ablauf des 10. Juli 2007 entstanden sind, gilt § 2 Abs. 1 mit der Maßgabe, dass sich die gebührenpflichtigen individuell zurechenbaren öffentlichen Leistungen und die Gebühren aus dem Gebührenverzeichnis der Anlage 3 ergeben.</w:t>
      </w:r>
    </w:p>
    <w:p>
      <w:r>
        <w:t xml:space="preserve">(3) Für Sachverhalte, die ab dem 11. Juli 2007 und bis zum Ablauf des 13. Juli 2007 entstanden sind, gilt § 2 Abs. 1 mit der Maßgabe, dass sich die gebührenpflichtigen individuell zurechenbaren öffentlichen Leistungen und die Gebühren aus dem Gebührenverzeichnis der Anlage 4 ergeben.</w:t>
      </w:r>
    </w:p>
    <w:p>
      <w:r>
        <w:t xml:space="preserve">(4) Für Sachverhalte, die ab dem 14. Juli 2007 und bis zum Ablauf des 21. Januar 2008 entstanden sind, gilt § 2 Abs. 1 mit der Maßgabe, dass sich die gebührenpflichtigen individuell zurechenbaren öffentlichen Leistungen und die Gebühren aus dem Gebührenverzeichnis der Anlage 5 ergeben.</w:t>
      </w:r>
    </w:p>
    <w:p>
      <w:r>
        <w:t xml:space="preserve">(5) Für Sachverhalte, die ab dem 22. Januar 2008 und bis zum Ablauf des 30. April 2008 entstanden sind, gilt § 2 Abs. 1 mit der Maßgabe, dass sich die gebührenpflichtigen individuell zurechenbaren öffentlichen Leistungen und die Gebühren aus dem Gebührenverzeichnis der Anlage 6 ergeben.</w:t>
      </w:r>
    </w:p>
    <w:p>
      <w:r>
        <w:t xml:space="preserve">(6) In den Fällen der Absätze 1 und 2 ist § 2 Abs. 2 mit der Maßgabe anzuwenden, dass der Stundensatz 81,80 Euro, für jede angefangene Viertelstunde 20,45 Euro beträgt.</w:t>
      </w:r>
    </w:p>
    <w:p>
      <w:r>
        <w:t xml:space="preserve">(7) § 6 Absatz 2 und Anlage 1 Teil I Abschnitt 1 Nummer 1.18 und 1.19 gelten für vor dem 24. Juli 2014 entstandene Sachverhalte nur, soweit es sich um Amtshandlungen und individuell zurechenbare öffentliche Leistungen nach § 7g Absatz 1 bis 3 des Allgemeinen Eisenbahngesetzes handelt.</w:t>
      </w:r>
    </w:p>
    <w:p>
      <w:r>
        <w:rPr>
          <w:color w:val="555555"/>
          <w:sz w:val="17"/>
        </w:rPr>
        <w:t xml:space="preserve">Zitiervorschlag: § 7 BEGebV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https://recht.nulegal.eu/gesetze/BEGebV%202008/7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