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BEGebV 2008 — Auslagen</w:t>
      </w:r>
    </w:p>
    <w:p>
      <w:r>
        <w:rPr>
          <w:color w:val="555555"/>
          <w:sz w:val="18"/>
        </w:rPr>
        <w:t xml:space="preserve">Bundeseisenbahngebührenverordnung</w:t>
      </w:r>
    </w:p>
    <w:p>
      <w:r>
        <w:rPr>
          <w:color w:val="555555"/>
          <w:sz w:val="18"/>
        </w:rPr>
        <w:t xml:space="preserve">Historische Fassung: Stand 10.06.2019 bis 10.08.2021. Dies ist nicht die aktuelle Fassung.</w:t>
      </w:r>
    </w:p>
    <w:p>
      <w:r>
        <w:t xml:space="preserve">(1) Neben den Gebühren werden vom Gebührenschuldner Auslagen entsprechend § 10 Absatz 1 Nummer 4 und 5 des Verwaltungskostengesetzes vom 23. Juni 1970 (BGBl. I S. 821) in der am 14. August 2013 geltenden Fassung gesondert erhoben.</w:t>
      </w:r>
    </w:p>
    <w:p>
      <w:r>
        <w:t xml:space="preserve">(2) Neben den Gebühren und den Auslagen nach Absatz 1 werden vom Gebührenschuldner Auslagen für Vergütungen von natürlichen oder juristischen Personen erhoben, die an der Erfüllung der Aufgaben des Eisenbahn-Bundesamtes mitwirken. § 7h Absatz 2 des Allgemeinen Eisenbahngesetzes ist zu beachten.</w:t>
      </w:r>
    </w:p>
    <w:p>
      <w:r>
        <w:rPr>
          <w:color w:val="555555"/>
          <w:sz w:val="17"/>
        </w:rPr>
        <w:t xml:space="preserve">Zitiervorschlag: § 6 BEGebV 2008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https://recht.nulegal.eu/gesetze/BEGebV%202008/6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