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BEGebV 2008 — Gebührenbefreiung</w:t>
      </w:r>
    </w:p>
    <w:p>
      <w:r>
        <w:rPr>
          <w:color w:val="555555"/>
          <w:sz w:val="18"/>
        </w:rPr>
        <w:t xml:space="preserve">Bundeseisenbahngebührenverordnung</w:t>
      </w:r>
    </w:p>
    <w:p>
      <w:r>
        <w:rPr>
          <w:color w:val="555555"/>
          <w:sz w:val="18"/>
        </w:rPr>
        <w:t xml:space="preserve">Historische Fassung: Stand 10.06.2019 bis 10.08.2021. Dies ist nicht die aktuelle Fassung.</w:t>
      </w:r>
    </w:p>
    <w:p>
      <w:r>
        <w:t xml:space="preserve">Für eine Entscheidung der Regulierungsbehörde nach § 14f Abs. 2 des Allgemeinen Eisenbahngesetzes sowie für die Untersuchung von gefährlichen Ereignissen im Eisenbahnbetrieb werden keine Gebühren erhoben.</w:t>
      </w:r>
    </w:p>
    <w:p>
      <w:r>
        <w:rPr>
          <w:color w:val="555555"/>
          <w:sz w:val="17"/>
        </w:rPr>
        <w:t xml:space="preserve">Zitiervorschlag: § 3 BEGebV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https://recht.nulegal.eu/gesetze/BEGebV%202008/3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