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BEGebV 2008 — Gebühren</w:t>
      </w:r>
    </w:p>
    <w:p>
      <w:r>
        <w:rPr>
          <w:color w:val="555555"/>
          <w:sz w:val="18"/>
        </w:rPr>
        <w:t xml:space="preserve">Bundeseisenbahngebührenverordnung</w:t>
      </w:r>
    </w:p>
    <w:p>
      <w:r>
        <w:rPr>
          <w:color w:val="555555"/>
          <w:sz w:val="18"/>
        </w:rPr>
        <w:t xml:space="preserve">Historische Fassung: Stand 10.06.2019 bis 10.08.2021. Dies ist nicht die aktuelle Fassung.</w:t>
      </w:r>
    </w:p>
    <w:p>
      <w:r>
        <w:t xml:space="preserve">(1) Die gebührenpflichtigen individuell zurechenbaren öffentlichen Leistungen und die Gebühren ergeben sich aus dem Gebührenverzeichnis (Anlage 1).</w:t>
      </w:r>
    </w:p>
    <w:p>
      <w:r>
        <w:t xml:space="preserve">(2) Soweit die Gebühr nach dem Zeitaufwand festzusetzen ist, beträgt der Stundensatz 100 Euro, für jede angefangene Viertelstunde 25 Euro. Der Stundensatz für individuell zurechenbare öffentliche Leistungen nach Anlage 1 Teil I und III beträgt 120 Euro, für jede angefangene Viertelstunde 30 Euro.</w:t>
      </w:r>
    </w:p>
    <w:p>
      <w:r>
        <w:t xml:space="preserve">(3) Zur Abgeltung mehrfacher gleichartiger individuell zurechenbarer öffentlicher Leistungen für denselben Gebührenschuldner kann auf dessen Antrag eine Pauschgebühr festgelegt werden. Sie wird im Voraus für den Zeitraum von einem Jahr auf der Grundlage einer errechneten Durchschnittsgebühr unter Berücksichtigung des geringeren Umfanges des Verwaltungsaufwandes festgesetzt.</w:t>
      </w:r>
    </w:p>
    <w:p>
      <w:r>
        <w:t xml:space="preserve">(4) Der Gebührenschuldner hat die zur Bemessung der Gebühr erforderlichen Nachweise vorzulegen, bei einer individuell zurechenbaren öffentlichen Leistung auf Antrag bereits mit dessen Stellung.</w:t>
      </w:r>
    </w:p>
    <w:p>
      <w:r>
        <w:rPr>
          <w:color w:val="555555"/>
          <w:sz w:val="17"/>
        </w:rPr>
        <w:t xml:space="preserve">Zitiervorschlag: § 2 BEGebV 2008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https://recht.nulegal.eu/gesetze/BEGebV%202008/2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