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BEGTPG — Organe</w:t>
      </w:r>
    </w:p>
    <w:p>
      <w:r>
        <w:rPr>
          <w:color w:val="555555"/>
          <w:sz w:val="18"/>
        </w:rPr>
        <w:t xml:space="preserve">Gesetz über die Bundesnetzagentur für Elektrizität, Gas, Telekommunikation, Post und Eisenbahnen</w:t>
      </w:r>
    </w:p>
    <w:p>
      <w:r>
        <w:rPr>
          <w:color w:val="555555"/>
          <w:sz w:val="18"/>
        </w:rPr>
        <w:t xml:space="preserve">Stand: 10.06.2019 (konsolidierte Textfassung, kein amtliches Inkrafttretensdatum)</w:t>
      </w:r>
    </w:p>
    <w:p>
      <w:r>
        <w:t xml:space="preserve">(1) Die Bundesnetzagentur wird von einem Präsidenten oder einer Präsidentin geleitet. Der Präsident oder die Präsidentin vertritt die Bundesnetzagentur gerichtlich und außergerichtlich und regelt die Verteilung und den Gang ihrer Geschäfte durch eine Geschäftsordnung; diese bedarf der Bestätigung durch das Bundesministerium für Wirtschaft und Energie im Benehmen mit dem Bundesministerium für Verkehr und digitale Infrastruktur. Bestimmungen in anderen Rechtsvorschriften über die Bildung von Beschlusskammern bleiben unberührt.</w:t>
      </w:r>
    </w:p>
    <w:p>
      <w:r>
        <w:t xml:space="preserve">(2) Der Präsident oder die Präsidentin hat als ständige Vertretung zwei Vizepräsidenten oder Vizepräsidentinnen.</w:t>
      </w:r>
    </w:p>
    <w:p>
      <w:r>
        <w:t xml:space="preserve">(3) Der Präsident oder die Präsidentin und die zwei Vizepräsidenten oder Vizepräsidentinnen werden jeweils auf Vorschlag des Beirates von der Bundesregierung benannt. Der Beirat hat zur Vorbereitung seines Vorschlages die Stellungnahme des Eisenbahninfrastrukturbeirates einzuholen. Erfolgt trotz Aufforderung der Bundesregierung innerhalb von vier Wochen kein Vorschlag des Beirates, erlischt das Vorschlagsrecht. Findet ein Vorschlag des Beirates nicht die Zustimmung der Bundesregierung, kann der Beirat innerhalb von vier Wochen erneut einen Vorschlag unterbreiten. Das Letztentscheidungsrecht der Bundesregierung bleibt von diesem Verfahren unberührt.</w:t>
      </w:r>
    </w:p>
    <w:p>
      <w:r>
        <w:t xml:space="preserve">(4) Die Ernennung des Präsidenten oder der Präsidentin und der zwei Vizepräsidenten oder Vizepräsidentinnen erfolgt durch den Bundespräsidenten oder die Bundespräsidentin.</w:t>
      </w:r>
    </w:p>
    <w:p>
      <w:r>
        <w:rPr>
          <w:color w:val="555555"/>
          <w:sz w:val="17"/>
        </w:rPr>
        <w:t xml:space="preserve">Zitiervorschlag: § 3 BEGTPG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https://recht.nulegal.eu/gesetze/BEGTPG/3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