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BEGSchlGVerfV</w:t>
      </w:r>
    </w:p>
    <w:p>
      <w:r>
        <w:rPr>
          <w:color w:val="555555"/>
          <w:sz w:val="18"/>
        </w:rPr>
        <w:t xml:space="preserve">Verfahrensverordnung zu Artikel VI des Zweiten Gesetzes zur Änderung des Bundesentschädigungsgesetzes (BEG-Schlußgesetz)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VI Nr. 7 des Zweiten Gesetzes zur Änderung des Bundesentschädigungsgesetzes (BEG-Schlußgesetz) vom 14. September 1965 (Bundesgesetzbl. I S. 1315) in Verbindung mit § 184 des Bundesentschädigungsgesetzes (BEG) in der Fassung vom 29. Juni 1956 (Bundesgesetzbl. I S. 562), zuletzt geändert durch das BEG-Schlußgesetz vom 14. September 1965 (Bundesgesetzbl. I S. 1315), verordnet die Bundesregierung:</w:t>
      </w:r>
    </w:p>
    <w:p>
      <w:r>
        <w:rPr>
          <w:color w:val="555555"/>
          <w:sz w:val="17"/>
        </w:rPr>
        <w:t xml:space="preserve">Zitiervorschlag: Eingangsformel BEGSchlGVerfV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https://recht.nulegal.eu/gesetze/BEGSchlGVerfV/eingangsformel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