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BEGSchlGVerfV</w:t>
      </w:r>
    </w:p>
    <w:p>
      <w:r>
        <w:rPr>
          <w:color w:val="555555"/>
          <w:sz w:val="18"/>
        </w:rPr>
        <w:t xml:space="preserve">Verfahrensverordnung zu Artikel VI des Zweiten Gesetzes zur Änderung des Bundesentschädigungsgesetzes (BEG-Schlußgesetz)</w:t>
      </w:r>
    </w:p>
    <w:p>
      <w:r>
        <w:rPr>
          <w:color w:val="555555"/>
          <w:sz w:val="18"/>
        </w:rPr>
        <w:t xml:space="preserve">Stand: 10.06.2019 (konsolidierte Textfassung, kein amtliches Inkrafttretensdatum)</w:t>
      </w:r>
    </w:p>
    <w:p>
      <w:r>
        <w:t xml:space="preserve">Schreib- und Rechenfehler und ähnliche offenbare Unrichtigkeiten in den Bescheiden sind von dem Bundesverwaltungsamt zu berichtigen. Über die Berichtigung ist durch Bescheid zu entscheiden. Der Bescheid ist nach Maßgabe der §§ 196 und 197 BEG zuzustellen.</w:t>
      </w:r>
    </w:p>
    <w:p>
      <w:r>
        <w:rPr>
          <w:color w:val="555555"/>
          <w:sz w:val="17"/>
        </w:rPr>
        <w:t xml:space="preserve">Zitiervorschlag: § 5 BEGSchlGVerfV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https://recht.nulegal.eu/gesetze/BEGSchlGVerfV/5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BEGSchlGVerfV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