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BEGSchlGVerfV</w:t>
      </w:r>
    </w:p>
    <w:p>
      <w:r>
        <w:rPr>
          <w:color w:val="555555"/>
          <w:sz w:val="18"/>
        </w:rPr>
        <w:t xml:space="preserve">Verfahrensverordnung zu Artikel VI des Zweiten Gesetzes zur Änderung des Bundesentschädigungsgesetzes (BEG-Schlußgesetz)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einen offensichtlich unbegründeten Antrag im Sinne des § 207 Abs. 1 Satz 2 BEG können dem Antragsteller eine Gebühr bis zu 100 Deutsche Mark und Ersatz der Auslagen nach den §§ 91 bis 94 des Gerichtskostengesetzes vom 26. Juli 1957 (Bundesgesetzbl. I S. 861, 941) auferlegt werden.</w:t>
      </w:r>
    </w:p>
    <w:p>
      <w:r>
        <w:t xml:space="preserve">(2) Der Kostenbescheid im Sinne des § 207 Abs. 1 Satz 3 BEG ist zurückzunehmen, wenn der geltend gemachte Anspruch durch rechtskräftiges Urteil oder durch Vergleich ganz oder teilweise zuerkannt worden ist.</w:t>
      </w:r>
    </w:p>
    <w:p>
      <w:r>
        <w:rPr>
          <w:color w:val="555555"/>
          <w:sz w:val="17"/>
        </w:rPr>
        <w:t xml:space="preserve">Zitiervorschlag: § 3 BEGSchlGVerfV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https://recht.nulegal.eu/gesetze/BEGSchlGVerfV/3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