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BEGSchlGVerfV</w:t>
      </w:r>
    </w:p>
    <w:p>
      <w:r>
        <w:rPr>
          <w:color w:val="555555"/>
          <w:sz w:val="18"/>
        </w:rPr>
        <w:t xml:space="preserve">Verfahrensverordnung zu Artikel VI des Zweiten Gesetzes zur Änderung des Bundesentschädigungsgesetzes (BEG-Schlußgesetz)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Bundesverwaltungsamt ist im Verfahren nach Artikel VI des BEG-Schlußgesetzes zur Abnahme von Versicherungen an Eides Statt befugt.</w:t>
      </w:r>
    </w:p>
    <w:p>
      <w:r>
        <w:rPr>
          <w:color w:val="555555"/>
          <w:sz w:val="17"/>
        </w:rPr>
        <w:t xml:space="preserve">Zitiervorschlag: § 2 BEGSchlGVerfV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https://recht.nulegal.eu/gesetze/BEGSchlGVerfV/2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