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BEGSchlGVerfV</w:t>
      </w:r>
    </w:p>
    <w:p>
      <w:r>
        <w:rPr>
          <w:color w:val="555555"/>
          <w:sz w:val="18"/>
        </w:rPr>
        <w:t xml:space="preserve">Verfahrensverordnung zu Artikel VI des Zweiten Gesetzes zur Änderung des Bundesentschädigungsgesetzes (BEG-Schlußgesetz)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Anträge beim Bundesverwaltungsamt gemäß Artikel VI des BEG-Schlußgesetzes soll der amtliche Vordruck verwendet werden.</w:t>
      </w:r>
    </w:p>
    <w:p>
      <w:r>
        <w:t xml:space="preserve">(2) Urkunden, die zum Beweis des Anspruchs dienen, sollen dem Antrag in Urschrift oder beglaubigter Abschrift beigefügt werden.</w:t>
      </w:r>
    </w:p>
    <w:p>
      <w:r>
        <w:rPr>
          <w:color w:val="555555"/>
          <w:sz w:val="17"/>
        </w:rPr>
        <w:t xml:space="preserve">Zitiervorschlag: § 1 BEGSchlGVerfV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https://recht.nulegal.eu/gesetze/BEGSchlGVerfV/1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