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BEGDV6ErgVO</w:t>
      </w:r>
    </w:p>
    <w:p>
      <w:r>
        <w:rPr>
          <w:color w:val="555555"/>
          <w:sz w:val="18"/>
        </w:rPr>
        <w:t xml:space="preserve">Verordnung zur Änderung und Ergänzung der Sechsten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vor Verkündung dieser Verordnung ein nach § 31 Abs. 2 BEG geltend gemachter Anspruch durch unanfechtbaren Bescheid oder rechtskräftige gerichtliche Entscheidung mit der Begründung abgelehnt worden ist, daß eine Haftstätte nicht als Konzentrationslager im Sinne des § 31 Abs. 2 BEG anzusehen sei, kann der Berechtigte einen Antrag auf erneute Entscheidung stellen, wenn sich auf Grund der Anlage zu dieser Verordnung ergibt, daß die Haftstätte als Konzentrationslager im Sinne des § 31 Abs. 2 BEG anzusehen ist.</w:t>
      </w:r>
    </w:p>
    <w:p>
      <w:r>
        <w:t xml:space="preserve">(2) Absatz 1 gilt entsprechend, wenn erst auf Grund der Anlage zu dieser Verordnung oder auf Grund von § 1 Nr. 2 dieser Verordnung der nach § 31 Abs. 2 BEG vorgeschriebene Zeitraum von mindestens einem Jahr Konzentrationslagerhaft erreicht wird.</w:t>
      </w:r>
    </w:p>
    <w:p>
      <w:r>
        <w:t xml:space="preserve">(3) Der Antrag nach den Absätzen 1 und 2 ist innerhalb einer Frist von sechs Monaten nach Verkündung dieser Verordnung zu stellen. Artikel III Nr. 1 Abs. 2 BEG-Schlußgesetz findet entsprechende Anwendung.</w:t>
      </w:r>
    </w:p>
    <w:p>
      <w:r>
        <w:t xml:space="preserve">(4) Die Absätze 1 bis 3 finden entsprechende Anwendung, soweit die Ansprüche vor Verkündung dieser Verordnung durch Vergleich oder Abfindung geregelt worden sind.</w:t>
      </w:r>
    </w:p>
    <w:p>
      <w:r>
        <w:t xml:space="preserve">(5) Soweit vor Verkündung dieser Verordnung Ansprüche von Berechtigten durch unanfechtbaren Bescheid oder durch rechtskräftige gerichtliche Entscheidung vorbehaltlos festgesetzt worden sind, behält es hierbei zugunsten der Berechtigten sein Bewenden.</w:t>
      </w:r>
    </w:p>
    <w:p>
      <w:r>
        <w:rPr>
          <w:color w:val="555555"/>
          <w:sz w:val="17"/>
        </w:rPr>
        <w:t xml:space="preserve">Zitiervorschlag: § 2 BEGDV6ErgVO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https://recht.nulegal.eu/gesetze/BEGDV6ErgVO/2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