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BEGDV 6</w:t>
      </w:r>
    </w:p>
    <w:p>
      <w:r>
        <w:rPr>
          <w:color w:val="555555"/>
          <w:sz w:val="18"/>
        </w:rPr>
        <w:t xml:space="preserve">Sechste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Konzentrationslager im Sinne des § 31 Abs. 2 BEG sind die in der Anlage aufgeführten Haftstätten anzusehen.</w:t>
      </w:r>
    </w:p>
    <w:p>
      <w:r>
        <w:rPr>
          <w:color w:val="555555"/>
          <w:sz w:val="17"/>
        </w:rPr>
        <w:t xml:space="preserve">Zitiervorschlag: § 1 BEGDV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