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BEGDV 4</w:t>
      </w:r>
    </w:p>
    <w:p>
      <w:r>
        <w:rPr>
          <w:color w:val="555555"/>
          <w:sz w:val="18"/>
        </w:rPr>
        <w:t xml:space="preserve">Vierte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mit Wirkung vom 1. April 1956 in Kraft.</w:t>
      </w:r>
    </w:p>
    <w:p>
      <w:r>
        <w:t xml:space="preserve">(2) Soweit vor der Verkündung dieser Verordnung Kosten nach der Bekanntmachung des Präsidenten des Bundesaufsichtsamtes für das Versicherungs- und Bausparwesen vom 19. Februar 1954 (Bundesanzeiger Nr. 37 vom 23. Februar 1954) erstattet worden sind, behält es hierbei sein Bewenden.</w:t>
      </w:r>
    </w:p>
    <w:p>
      <w:r>
        <w:rPr>
          <w:color w:val="555555"/>
          <w:sz w:val="17"/>
        </w:rPr>
        <w:t xml:space="preserve">Zitiervorschlag: § 3 BEGDV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