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BEGDV 4</w:t>
      </w:r>
    </w:p>
    <w:p>
      <w:r>
        <w:rPr>
          <w:color w:val="555555"/>
          <w:sz w:val="18"/>
        </w:rPr>
        <w:t xml:space="preserve">Vierte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Kosten, die den Versicherungseinrichtungen für ihre Mitwirkung nach § 182 Abs. 1 des Bundesentschädigungsgesetzes entstehen, sind ihnen nach folgenden Pauschsätzen zu erstatten:</w:t>
      </w:r>
    </w:p>
    <w:p>
      <w:pPr>
        <w:ind w:left="420"/>
      </w:pPr>
      <w:r>
        <w:t xml:space="preserve">1. bei Auskünften auf Grund einfacher Ermittlungen</w:t>
      </w:r>
    </w:p>
    <w:p>
      <w:pPr>
        <w:ind w:left="780"/>
      </w:pPr>
      <w:r>
        <w:t xml:space="preserve">3 Deutsche Mark je Versicherungsschein;</w:t>
      </w:r>
    </w:p>
    <w:p>
      <w:pPr>
        <w:ind w:left="420"/>
      </w:pPr>
      <w:r>
        <w:t xml:space="preserve">2. bei Auskünften auf Grund umfangreicher Ermittlungen oder mit versicherungstechnischen Berechnungen</w:t>
      </w:r>
    </w:p>
    <w:p>
      <w:pPr>
        <w:ind w:left="780"/>
      </w:pPr>
      <w:r>
        <w:t xml:space="preserve">6 Deutsche Mark je Versicherungsschein;</w:t>
      </w:r>
    </w:p>
    <w:p>
      <w:pPr>
        <w:ind w:left="420"/>
      </w:pPr>
      <w:r>
        <w:t xml:space="preserve">3. bei Auskünften mit versicherungstechnischen Berechnungen in besonders schwierigen Fällen mit nachweislich erhöhtem Kostenaufwand</w:t>
      </w:r>
    </w:p>
    <w:p>
      <w:pPr>
        <w:ind w:left="780"/>
      </w:pPr>
      <w:r>
        <w:t xml:space="preserve">9 Deutsche Mark je Versicherungsschein.</w:t>
      </w:r>
    </w:p>
    <w:p>
      <w:r>
        <w:t xml:space="preserve">(2) Bei Auskünften über die für den Berechtigten günstigere Entschädigung gemäß § 128 Abs. 3 und § 129 Abs. 3 des Bundesentschädigungsgesetzes erhöhen sich die Pauschsätze nach Absatz 1 Nr. 2 und 3 jeweils um 3 Deutsche Mark.</w:t>
      </w:r>
    </w:p>
    <w:p>
      <w:r>
        <w:rPr>
          <w:color w:val="555555"/>
          <w:sz w:val="17"/>
        </w:rPr>
        <w:t xml:space="preserve">Zitiervorschlag: § 1 BEGDV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https://recht.nulegal.eu/gesetze/BEGDV%204/1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BEGDV 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