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BEGDV 3 — Höhe des Darlehens</w:t>
      </w:r>
    </w:p>
    <w:p>
      <w:r>
        <w:rPr>
          <w:color w:val="555555"/>
          <w:sz w:val="18"/>
        </w:rPr>
        <w:t xml:space="preserve">Dritte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Bei der Bemessung des Darlehens ist der Umfang des früheren Unternehmens oder der früheren Teilhaberschaft zu berücksichtigen.</w:t>
      </w:r>
    </w:p>
    <w:p>
      <w:r>
        <w:rPr>
          <w:color w:val="555555"/>
          <w:sz w:val="17"/>
        </w:rPr>
        <w:t xml:space="preserve">Zitiervorschlag: § 8 BEGDV 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https://recht.nulegal.eu/gesetze/BEGDV%203/8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