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BEGDV 3 — Zeitlicher Anwendungsbereich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treten in Kraft</w:t>
      </w:r>
    </w:p>
    <w:p>
      <w:pPr>
        <w:ind w:left="420"/>
      </w:pPr>
      <w:r>
        <w:t xml:space="preserve">1. §§ 1 bis 15, 17, 19 bis 22, 22b, 23, 24 Abs. 1, 3, 5 und 7, §§ 25, 25a, 27, 28, 30, 32, 33 Abs. 1 bis 3 und 5, § 34 Abs. 1, 2 und 4, §§ 35a, 35c, 36 bis 38, 39, 40 und 42mit Wirkung vom 1. Oktober 1953;</w:t>
      </w:r>
    </w:p>
    <w:p>
      <w:pPr>
        <w:ind w:left="420"/>
      </w:pPr>
      <w:r>
        <w:t xml:space="preserve">2. § 24 Abs. 2 und 6, §§ 24a, 26, 29, 35, 35b, 41 und 41amit Wirkung vom 18. September 1965;</w:t>
      </w:r>
    </w:p>
    <w:p>
      <w:pPr>
        <w:ind w:left="420"/>
      </w:pPr>
      <w:r>
        <w:t xml:space="preserve">3. §§ 22a, 24 Abs. 4, § 33 Abs. 4, §§ 33a, 34 Abs. 3 und § 38amit Wirkung vom 1. Januar 1966.</w:t>
      </w:r>
    </w:p>
    <w:p>
      <w:r>
        <w:t xml:space="preserve">(2) Es treten außer Kraft §§ 16, 18 und 31 mit Wirkung vom 18. September 1965.</w:t>
      </w:r>
    </w:p>
    <w:p>
      <w:r>
        <w:rPr>
          <w:color w:val="555555"/>
          <w:sz w:val="17"/>
        </w:rPr>
        <w:t xml:space="preserve">Zitiervorschlag: § 43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