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42 BEGDV 3</w:t>
      </w:r>
    </w:p>
    <w:p>
      <w:r>
        <w:rPr>
          <w:color w:val="555555"/>
          <w:sz w:val="18"/>
        </w:rPr>
        <w:t xml:space="preserve">Dritte Verordnung zur Durchführung des Bundesentschädigungsgesetzes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42 BEGDV 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https://recht.nulegal.eu/gesetze/BEGDV%203/42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42 BEGDV 3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