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41a BEGDV 3 — Stichtag für Neufestsetzung der Renten</w:t>
      </w:r>
    </w:p>
    <w:p>
      <w:r>
        <w:rPr>
          <w:color w:val="555555"/>
          <w:sz w:val="18"/>
        </w:rPr>
        <w:t xml:space="preserve">Dritte Verordnung zur Durchführung des Bundesentschädigungsgesetzes</w:t>
      </w:r>
    </w:p>
    <w:p>
      <w:r>
        <w:rPr>
          <w:color w:val="555555"/>
          <w:sz w:val="18"/>
        </w:rPr>
        <w:t xml:space="preserve">Stand: 10.06.2019 (konsolidierte Textfassung, kein amtliches Inkrafttretensdatum)</w:t>
      </w:r>
    </w:p>
    <w:p>
      <w:r>
        <w:t xml:space="preserve">Renten, die auf Grund des Bundesentschädigungsgesetzes oder dieser Verordnung vom 18. September 1965 an zu gewähren oder neu festzusetzen sind, werden mit Wirkung vom 1. September 1965 an gewährt oder neu festgesetzt.</w:t>
      </w:r>
    </w:p>
    <w:p>
      <w:r>
        <w:rPr>
          <w:color w:val="555555"/>
          <w:sz w:val="17"/>
        </w:rPr>
        <w:t xml:space="preserve">Zitiervorschlag: § 41a BEGDV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https://recht.nulegal.eu/gesetze/BEGDV%203/41a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