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38 BEGDV 3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Kinder im Sinne des § 119 Abs. 1 BEG sind die ehelichen Kinder und die diesen nach den Vorschriften des bürgerlichen Rechts gleichgestellten Kinder.</w:t>
      </w:r>
    </w:p>
    <w:p>
      <w:r>
        <w:t xml:space="preserve">(2) Die Voraussetzung, daß für die Kinder nach dem bis zum 31. Dezember 1974 geltenden Beamtenrecht Kinderzuschläge gewährt werden können, gilt auch dann als erfüllt, wenn sich der Abschluß der Schul- oder Berufsausbildung infolge der gegen die Eltern gerichteten nationalsozialistischen Verfolgungs- oder Unterdrückungsmaßnahmen verzögert hat.</w:t>
      </w:r>
    </w:p>
    <w:p>
      <w:r>
        <w:rPr>
          <w:color w:val="555555"/>
          <w:sz w:val="17"/>
        </w:rPr>
        <w:t xml:space="preserve">Zitiervorschlag: § 38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https://recht.nulegal.eu/gesetze/BEGDV%203/38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38 BEGDV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