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35a BEGDV 3 — Entschädigung in Höhe der Rentenbezüge eines Jahres im Falle des § 98 BEG</w:t>
      </w:r>
    </w:p>
    <w:p>
      <w:r>
        <w:rPr>
          <w:color w:val="555555"/>
          <w:sz w:val="18"/>
        </w:rPr>
        <w:t xml:space="preserve">Dritte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Berechnung der Entschädigung in Höhe der Rentenbezüge eines Jahres im Falle des § 98 BEG findet § 23 entsprechende Anwendung. Dabei ist § 95 BEG zu berücksichtigen.</w:t>
      </w:r>
    </w:p>
    <w:p>
      <w:r>
        <w:rPr>
          <w:color w:val="555555"/>
          <w:sz w:val="17"/>
        </w:rPr>
        <w:t xml:space="preserve">Zitiervorschlag: § 35a BEGDV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https://recht.nulegal.eu/gesetze/BEGDV%203/35a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