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BEGDV 3 — Berücksichtigung anderweitigen Einkommens</w:t>
      </w:r>
    </w:p>
    <w:p>
      <w:r>
        <w:rPr>
          <w:color w:val="555555"/>
          <w:sz w:val="18"/>
        </w:rPr>
        <w:t xml:space="preserve">Dritte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Berücksichtigung des durch anderweitige Verwertung der Arbeitskraft erzielten Einkommens findet § 17 entsprechende Anwendung.</w:t>
      </w:r>
    </w:p>
    <w:p>
      <w:r>
        <w:rPr>
          <w:color w:val="555555"/>
          <w:sz w:val="17"/>
        </w:rPr>
        <w:t xml:space="preserve">Zitiervorschlag: § 32 BEGDV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https://recht.nulegal.eu/gesetze/BEGDV%203/32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