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BEGDV 3 — Voraussetzung für die Darlehnsgewährung</w:t>
      </w:r>
    </w:p>
    <w:p>
      <w:r>
        <w:rPr>
          <w:color w:val="555555"/>
          <w:sz w:val="18"/>
        </w:rPr>
        <w:t xml:space="preserve">Dritte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Voraussetzung für die erfolgreiche Aufnahme einer selbständigen Erwerbstätigkeit ist insbesondere die persönliche und fachliche Eignung des Verfolgten und die Wahrscheinlichkeit, daß ihm die Erwerbstätigkeit eine ausreichende Lebensgrundlage bietet.</w:t>
      </w:r>
    </w:p>
    <w:p>
      <w:r>
        <w:t xml:space="preserve">(2) Auf die Gewährung von Darlehen finden im übrigen die §§ 6, 7 Satz 2 und § 9 entsprechende Anwendung.</w:t>
      </w:r>
    </w:p>
    <w:p>
      <w:r>
        <w:rPr>
          <w:color w:val="555555"/>
          <w:sz w:val="17"/>
        </w:rPr>
        <w:t xml:space="preserve">Zitiervorschlag: § 28 BEGDV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https://recht.nulegal.eu/gesetze/BEGDV%203/28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