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25 BEGDV 3 — Beginn der Rentenzahlung für den überlebenden Ehegatten und die Kinder</w:t>
      </w:r>
    </w:p>
    <w:p>
      <w:r>
        <w:rPr>
          <w:color w:val="555555"/>
          <w:sz w:val="18"/>
        </w:rPr>
        <w:t xml:space="preserve">Dritte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Renten nach den §§ 85 und 85a BEG werden vom Ersten des Monats an gezahlt, der dem Monat folgt, in dem der Verfolgte verstorben ist.</w:t>
      </w:r>
    </w:p>
    <w:p>
      <w:r>
        <w:t xml:space="preserve">(2) In den Fällen des § 86 Abs. 1 bis 3 BEG wird die Rente vom Ersten des Monats an gezahlt, in dem der Verfolgte verstorben ist.</w:t>
      </w:r>
    </w:p>
    <w:p>
      <w:r>
        <w:rPr>
          <w:color w:val="555555"/>
          <w:sz w:val="17"/>
        </w:rPr>
        <w:t xml:space="preserve">Zitiervorschlag: § 25 BEGDV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https://recht.nulegal.eu/gesetze/BEGDV%203/25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25 BEGDV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