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24a BEGDV 3 — Renten für den überlebenden Ehegatten in den Fällen des § 86 Abs. 6 BEG</w:t>
      </w:r>
    </w:p>
    <w:p>
      <w:r>
        <w:rPr>
          <w:color w:val="555555"/>
          <w:sz w:val="18"/>
        </w:rPr>
        <w:t xml:space="preserve">Dritte Verordnung zur Durchführung des Bundesentschädigungsgesetzes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Rentenanspruch des überlebenden Ehegatten nach § 86 Abs. 6 BEG besteht nach Maßgabe des § 4a BEG nur, wenn der Verfolgte vor dem 31. Dezember 1952 verstorben ist.</w:t>
      </w:r>
    </w:p>
    <w:p>
      <w:r>
        <w:t xml:space="preserve">(2) Ein Rentenanspruch der Kinder des verstorbenen Verfolgten besteht nach § 86 Abs. 6 BEG nicht.</w:t>
      </w:r>
    </w:p>
    <w:p>
      <w:r>
        <w:t xml:space="preserve">(3) Im übrigen findet § 24 entsprechende Anwendung.</w:t>
      </w:r>
    </w:p>
    <w:p>
      <w:r>
        <w:rPr>
          <w:color w:val="555555"/>
          <w:sz w:val="17"/>
        </w:rPr>
        <w:t xml:space="preserve">Zitiervorschlag: § 24a BEGDV 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https://recht.nulegal.eu/gesetze/BEGDV%203/24a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