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BEGDV 3 — Anzeigepflicht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Verfolgte ist verpflichtet, der zuständigen Entschädigungsbehörde die Tatsachen unverzüglich anzuzeigen, die gemäß § 19 zu einer Beendigung der Zahlung der monatlichen Teilbeträge führen.</w:t>
      </w:r>
    </w:p>
    <w:p>
      <w:r>
        <w:t xml:space="preserve">(2) Hat der Verfolgte einen gesetzlichen Vertreter, so obliegt diesem die Anzeigepflicht.</w:t>
      </w:r>
    </w:p>
    <w:p>
      <w:r>
        <w:rPr>
          <w:color w:val="555555"/>
          <w:sz w:val="17"/>
        </w:rPr>
        <w:t xml:space="preserve">Zitiervorschlag: § 20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