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BEGDV 3 — Abgrenzung gegenüber dem Schaden in der Nutzung des Eigentums und des Vermögens</w:t>
      </w:r>
    </w:p>
    <w:p>
      <w:r>
        <w:rPr>
          <w:color w:val="555555"/>
          <w:sz w:val="18"/>
        </w:rPr>
        <w:t xml:space="preserve">Dritte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Ausfall an Einkommen aus Land- und Forstwirtschaft und aus Gewerbebetrieb gilt insoweit als Schaden in der Nutzung der Arbeitskraft, als es sich um den Ausfall an Entgelt für die Tätigkeit des Verfolgten als Betriebsinhaber handelt.</w:t>
      </w:r>
    </w:p>
    <w:p>
      <w:r>
        <w:rPr>
          <w:color w:val="555555"/>
          <w:sz w:val="17"/>
        </w:rPr>
        <w:t xml:space="preserve">Zitiervorschlag: § 1 BEGDV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