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BEGDV 2 — Folgen der Weigerung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Weigert sich der Verfolgte ohne ausreichenden Grund, sich der angeordneten ärztlichen Untersuchung, Nachuntersuchung oder Beobachtung zu unterziehen, so kann der Anspruch auf Entschädigung abgelehnt werden; wiederkehrende Leistungen können ungeachtet einer gerichtlichen Entscheidung oder eines Vergleichs auf Zeit oder Dauer eingestellt werden.</w:t>
      </w:r>
    </w:p>
    <w:p>
      <w:r>
        <w:t xml:space="preserve">(2) Absatz 1 findet nur Anwendung, wenn der Verfolgte vorher schriftlich auf die Rechtsfolgen einer Weigerung hingewiesen worden ist.</w:t>
      </w:r>
    </w:p>
    <w:p>
      <w:r>
        <w:rPr>
          <w:color w:val="555555"/>
          <w:sz w:val="17"/>
        </w:rPr>
        <w:t xml:space="preserve">Zitiervorschlag: § 7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