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BEGDV 2 — Anlagebedingte Leiden</w:t>
      </w:r>
    </w:p>
    <w:p>
      <w:r>
        <w:rPr>
          <w:color w:val="555555"/>
          <w:sz w:val="18"/>
        </w:rPr>
        <w:t xml:space="preserve">Zweite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anlagebedingtes Leiden gilt als durch nationalsozialistische Gewaltmaßnahmen im Sinne der Entstehung verursacht, wenn es durch diese Gewaltmaßnahmen wesentlich mitverursacht worden ist.</w:t>
      </w:r>
    </w:p>
    <w:p>
      <w:r>
        <w:rPr>
          <w:color w:val="555555"/>
          <w:sz w:val="17"/>
        </w:rPr>
        <w:t xml:space="preserve">Zitiervorschlag: § 4 BEGDV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