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BEGDV 2 — Verschlimmerung früherer Leiden</w:t>
      </w:r>
    </w:p>
    <w:p>
      <w:r>
        <w:rPr>
          <w:color w:val="555555"/>
          <w:sz w:val="18"/>
        </w:rPr>
        <w:t xml:space="preserve">Zweite Verordnung zur Durchführung des Bundesentschädigungsgesetzes</w:t>
      </w:r>
    </w:p>
    <w:p>
      <w:r>
        <w:rPr>
          <w:color w:val="555555"/>
          <w:sz w:val="18"/>
        </w:rPr>
        <w:t xml:space="preserve">Stand: 10.06.2019 (konsolidierte Textfassung, kein amtliches Inkrafttretensdatum)</w:t>
      </w:r>
    </w:p>
    <w:p>
      <w:r>
        <w:t xml:space="preserve">(1) Eine Verschlimmerung liegt vor, wenn sich der Krankheitswert eines früheren Leidens durch nationalsozialistische Gewaltmaßnahmen erhöht hat.</w:t>
      </w:r>
    </w:p>
    <w:p>
      <w:r>
        <w:t xml:space="preserve">(2) Eine abgrenzbare Verschlimmerung liegt vor, wenn die nationalsozialistischen Gewaltmaßnahmen den Krankheitswert des früheren Leidens erhöht haben, ohne dessen Verlaufsrichtung zu ändern. Das Leiden ist nur in dem der Verschlimmerung entsprechenden Umfang ein Verfolgungsschaden.</w:t>
      </w:r>
    </w:p>
    <w:p>
      <w:r>
        <w:t xml:space="preserve">(3) Eine richtunggebende Verschlimmerung liegt vor, wenn die nationalsozialistischen Gewaltmaßnahmen den Krankheitswert des früheren Leidens erhöht und dessen Verlaufsrichtung geändert haben. Das Leiden gilt in vollem Umfange als ein Verfolgungsschaden.</w:t>
      </w:r>
    </w:p>
    <w:p>
      <w:r>
        <w:rPr>
          <w:color w:val="555555"/>
          <w:sz w:val="17"/>
        </w:rPr>
        <w:t xml:space="preserve">Zitiervorschlag: § 3 BEGDV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