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25 BEGDV 2 — Zeitlicher Anwendungsbereich</w:t>
      </w:r>
    </w:p>
    <w:p>
      <w:r>
        <w:rPr>
          <w:color w:val="555555"/>
          <w:sz w:val="18"/>
        </w:rPr>
        <w:t xml:space="preserve">Zweite Verordnung zur Durchführung des Bundesentschädigungsgesetzes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Es treten in Kraft</w:t>
      </w:r>
    </w:p>
    <w:p>
      <w:pPr>
        <w:ind w:left="420"/>
      </w:pPr>
      <w:r>
        <w:t xml:space="preserve">1. die §§ 1, 4 bis 8 Abs. 1, §§ 9, 10 Abs. 1, 2 Satz 1 Nr. 1 bis 4, §§ 11a, 12 bis 15 Abs. 1, 2, 3 Nr. 1 bis 4, 6 bis 8, Abs. 4, §§ 16, 17, 17a Abs. 1, §§ 18, 20, 21, 22 und 24mit Wirkung vom 1. Oktober 1953;</w:t>
      </w:r>
    </w:p>
    <w:p>
      <w:pPr>
        <w:ind w:left="420"/>
      </w:pPr>
      <w:r>
        <w:t xml:space="preserve">2. die §§ 3, 8 Abs. 2, § 10 Abs. 2 Satz 1 Nr. 5 und Satz 2, §§ 11, 15 Abs. 3 Nr. 5, Abs. 5, 6, §§ 15a, 17a Abs. 2, 3, §§ 19, 23, 23a, 23b und 23cmit Wirkung vom 18. September 1965;</w:t>
      </w:r>
    </w:p>
    <w:p>
      <w:pPr>
        <w:ind w:left="420"/>
      </w:pPr>
      <w:r>
        <w:t xml:space="preserve">3. die §§ 21a und 21bmit Wirkung vom 1. Januar 1966.</w:t>
      </w:r>
    </w:p>
    <w:p>
      <w:r>
        <w:t xml:space="preserve">(2) § 2 tritt mit Wirkung vom 18. September 1965 außer Kraft.</w:t>
      </w:r>
    </w:p>
    <w:p>
      <w:r>
        <w:rPr>
          <w:color w:val="555555"/>
          <w:sz w:val="17"/>
        </w:rPr>
        <w:t xml:space="preserve">Zitiervorschlag: § 25 BEGDV 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https://recht.nulegal.eu/gesetze/BEGDV%202/25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