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23a BEGDV 2 — Anrechnung von überzahlten Rentenbeträgen auf Ansprüche nach § 41 BEG</w:t>
      </w:r>
    </w:p>
    <w:p>
      <w:r>
        <w:rPr>
          <w:color w:val="555555"/>
          <w:sz w:val="18"/>
        </w:rPr>
        <w:t xml:space="preserve">Zweite Verordnung zur Durchführung des Bundesentschädigungsgesetzes</w:t>
      </w:r>
    </w:p>
    <w:p>
      <w:r>
        <w:rPr>
          <w:color w:val="555555"/>
          <w:sz w:val="18"/>
        </w:rPr>
        <w:t xml:space="preserve">Stand: 10.06.2019 (konsolidierte Textfassung, kein amtliches Inkrafttretensdatum)</w:t>
      </w:r>
    </w:p>
    <w:p>
      <w:r>
        <w:t xml:space="preserve">Sind auf den Rentenanspruch des Verfolgten für Schaden an Körper oder Gesundheit an seine Hinterbliebenen nach dem Erlöschen des Anspruchs (§ 18) noch Leistungen bewirkt worden, so können diese auf deren Ansprüche nach § 41 BEG voll angerechnet werden.</w:t>
      </w:r>
    </w:p>
    <w:p>
      <w:r>
        <w:rPr>
          <w:color w:val="555555"/>
          <w:sz w:val="17"/>
        </w:rPr>
        <w:t xml:space="preserve">Zitiervorschlag: § 23a BEGDV 2</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https://recht.nulegal.eu/gesetze/BEGDV%202/23a</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