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BEGDV 2 — Anspruch nach § 41 BEG</w:t>
      </w:r>
    </w:p>
    <w:p>
      <w:r>
        <w:rPr>
          <w:color w:val="555555"/>
          <w:sz w:val="18"/>
        </w:rPr>
        <w:t xml:space="preserve">Zweite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§ 41 BEG nichts anderes bestimmt, gelten für die Ansprüche der Hinterbliebenen des Verfolgten nach § 41 BEG die entsprechenden Vorschriften der Ersten Verordnung zur Durchführung des Bundesentschädigungsgesetzes in der Fassung der Verordnung vom 13. April 1966 (Bundesgesetzblatt I S. 292).</w:t>
      </w:r>
    </w:p>
    <w:p>
      <w:r>
        <w:rPr>
          <w:color w:val="555555"/>
          <w:sz w:val="17"/>
        </w:rPr>
        <w:t xml:space="preserve">Zitiervorschlag: § 23 BEGDV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https://recht.nulegal.eu/gesetze/BEGDV%202/23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