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BEGDV 2</w:t>
      </w:r>
    </w:p>
    <w:p>
      <w:r>
        <w:rPr>
          <w:color w:val="555555"/>
          <w:sz w:val="18"/>
        </w:rPr>
        <w:t xml:space="preserve">Zweite Verordnung zur Durchführung des Bundesentschädigungsgesetzes</w:t>
      </w:r>
    </w:p>
    <w:p>
      <w:r>
        <w:rPr>
          <w:color w:val="555555"/>
          <w:sz w:val="18"/>
        </w:rPr>
        <w:t xml:space="preserve">Stand: 10.06.2019 (konsolidierte Textfassung, kein amtliches Inkrafttretensdatum)</w:t>
      </w:r>
    </w:p>
    <w:p>
      <w:r>
        <w:t xml:space="preserve">Kommt der Verfolgte oder sein gesetzlicher Vertreter den nach § 19 bestehenden Pflichten nicht nach, so kann die Zahlung der Rente ganz oder teilweise eingestellt werden. Dies gilt nur, wenn der Verfolgte oder sein gesetzlicher Vertreter auf diese Rechtsfolgen vorher hingewiesen worden ist.</w:t>
      </w:r>
    </w:p>
    <w:p>
      <w:r>
        <w:rPr>
          <w:color w:val="555555"/>
          <w:sz w:val="17"/>
        </w:rPr>
        <w:t xml:space="preserve">Zitiervorschlag: § 20 BEGDV 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https://recht.nulegal.eu/gesetze/BEGDV%202/20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