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BEGDV 2 — Schaden im unmittelbaren Anschluß an Deportation oder Freiheitsentziehung</w:t>
      </w:r>
    </w:p>
    <w:p>
      <w:r>
        <w:rPr>
          <w:color w:val="555555"/>
          <w:sz w:val="18"/>
        </w:rPr>
        <w:t xml:space="preserve">Zweite Verordnung zur Durchführung des Bundesentschädigungsgesetzes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(Entfällt)</w:t>
      </w:r>
    </w:p>
    <w:p>
      <w:r>
        <w:rPr>
          <w:color w:val="555555"/>
          <w:sz w:val="17"/>
        </w:rPr>
        <w:t xml:space="preserve">Zitiervorschlag: § 2 BEGDV 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https://recht.nulegal.eu/gesetze/BEGDV%202/2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